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617" w:rsidRDefault="00AB3617">
      <w:pPr>
        <w:pStyle w:val="BodyText"/>
        <w:spacing w:before="4"/>
        <w:rPr>
          <w:sz w:val="11"/>
        </w:rPr>
      </w:pPr>
    </w:p>
    <w:p w:rsidR="00AB3617" w:rsidRDefault="00471C68">
      <w:pPr>
        <w:pStyle w:val="BodyText"/>
        <w:ind w:left="1572"/>
        <w:rPr>
          <w:sz w:val="20"/>
        </w:rPr>
      </w:pPr>
      <w:r>
        <w:rPr>
          <w:noProof/>
          <w:sz w:val="20"/>
        </w:rPr>
        <w:drawing>
          <wp:inline distT="0" distB="0" distL="0" distR="0">
            <wp:extent cx="4115990" cy="10058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4115990" cy="1005840"/>
                    </a:xfrm>
                    <a:prstGeom prst="rect">
                      <a:avLst/>
                    </a:prstGeom>
                  </pic:spPr>
                </pic:pic>
              </a:graphicData>
            </a:graphic>
          </wp:inline>
        </w:drawing>
      </w:r>
    </w:p>
    <w:p w:rsidR="00AB3617" w:rsidRDefault="00AB3617">
      <w:pPr>
        <w:pStyle w:val="BodyText"/>
        <w:rPr>
          <w:sz w:val="20"/>
        </w:rPr>
      </w:pPr>
    </w:p>
    <w:p w:rsidR="00AB3617" w:rsidRDefault="00AB3617">
      <w:pPr>
        <w:pStyle w:val="BodyText"/>
        <w:rPr>
          <w:sz w:val="20"/>
        </w:rPr>
      </w:pPr>
    </w:p>
    <w:p w:rsidR="00AB3617" w:rsidRDefault="00AB3617">
      <w:pPr>
        <w:pStyle w:val="BodyText"/>
        <w:rPr>
          <w:sz w:val="20"/>
        </w:rPr>
      </w:pPr>
    </w:p>
    <w:p w:rsidR="00AB3617" w:rsidRDefault="00AB3617">
      <w:pPr>
        <w:pStyle w:val="BodyText"/>
        <w:rPr>
          <w:sz w:val="20"/>
        </w:rPr>
      </w:pPr>
    </w:p>
    <w:p w:rsidR="00AB3617" w:rsidRDefault="00AB3617">
      <w:pPr>
        <w:pStyle w:val="BodyText"/>
        <w:rPr>
          <w:sz w:val="20"/>
        </w:rPr>
      </w:pPr>
    </w:p>
    <w:p w:rsidR="00AB3617" w:rsidRDefault="00AB3617">
      <w:pPr>
        <w:pStyle w:val="BodyText"/>
        <w:rPr>
          <w:sz w:val="20"/>
        </w:rPr>
      </w:pPr>
    </w:p>
    <w:p w:rsidR="00AB3617" w:rsidRDefault="00AB3617">
      <w:pPr>
        <w:pStyle w:val="BodyText"/>
        <w:rPr>
          <w:sz w:val="20"/>
        </w:rPr>
      </w:pPr>
    </w:p>
    <w:p w:rsidR="00AB3617" w:rsidRDefault="00AB3617">
      <w:pPr>
        <w:pStyle w:val="BodyText"/>
        <w:rPr>
          <w:sz w:val="20"/>
        </w:rPr>
      </w:pPr>
    </w:p>
    <w:p w:rsidR="00AB3617" w:rsidRDefault="00AB3617">
      <w:pPr>
        <w:pStyle w:val="BodyText"/>
        <w:spacing w:before="1"/>
        <w:rPr>
          <w:sz w:val="19"/>
        </w:rPr>
      </w:pPr>
    </w:p>
    <w:p w:rsidR="00AB3617" w:rsidRDefault="00471C68">
      <w:pPr>
        <w:pStyle w:val="Heading1"/>
        <w:spacing w:before="83"/>
        <w:ind w:left="2408"/>
      </w:pPr>
      <w:r>
        <w:t>RATE AND RULES</w:t>
      </w:r>
    </w:p>
    <w:p w:rsidR="00AB3617" w:rsidRDefault="00471C68">
      <w:pPr>
        <w:pStyle w:val="Heading2"/>
        <w:spacing w:before="275"/>
        <w:ind w:left="2408" w:right="2458"/>
        <w:jc w:val="center"/>
        <w:rPr>
          <w:rFonts w:ascii="Arial"/>
          <w:u w:val="none"/>
        </w:rPr>
      </w:pPr>
      <w:r>
        <w:rPr>
          <w:rFonts w:ascii="Arial"/>
          <w:u w:val="none"/>
        </w:rPr>
        <w:t>FOR THE STATE OF</w:t>
      </w:r>
    </w:p>
    <w:p w:rsidR="00AB3617" w:rsidRDefault="00AB3617">
      <w:pPr>
        <w:pStyle w:val="BodyText"/>
        <w:rPr>
          <w:rFonts w:ascii="Arial"/>
          <w:b/>
          <w:sz w:val="26"/>
        </w:rPr>
      </w:pPr>
    </w:p>
    <w:p w:rsidR="00AB3617" w:rsidRDefault="00AB3617">
      <w:pPr>
        <w:pStyle w:val="BodyText"/>
        <w:spacing w:before="5"/>
        <w:rPr>
          <w:rFonts w:ascii="Arial"/>
          <w:b/>
          <w:sz w:val="33"/>
        </w:rPr>
      </w:pPr>
    </w:p>
    <w:p w:rsidR="00AB3617" w:rsidRDefault="00471C68">
      <w:pPr>
        <w:spacing w:before="1"/>
        <w:ind w:left="2333" w:right="2458"/>
        <w:jc w:val="center"/>
        <w:rPr>
          <w:rFonts w:ascii="Arial"/>
          <w:b/>
          <w:sz w:val="52"/>
        </w:rPr>
      </w:pPr>
      <w:r>
        <w:rPr>
          <w:rFonts w:ascii="Arial"/>
          <w:b/>
          <w:sz w:val="52"/>
        </w:rPr>
        <w:t>ARKANSAS</w:t>
      </w:r>
    </w:p>
    <w:p w:rsidR="00AB3617" w:rsidRDefault="00AB3617">
      <w:pPr>
        <w:pStyle w:val="BodyText"/>
        <w:rPr>
          <w:rFonts w:ascii="Arial"/>
          <w:b/>
          <w:sz w:val="20"/>
        </w:rPr>
      </w:pPr>
    </w:p>
    <w:p w:rsidR="00AB3617" w:rsidRDefault="00AB3617">
      <w:pPr>
        <w:pStyle w:val="BodyText"/>
        <w:rPr>
          <w:rFonts w:ascii="Arial"/>
          <w:b/>
          <w:sz w:val="20"/>
        </w:rPr>
      </w:pPr>
    </w:p>
    <w:p w:rsidR="00AB3617" w:rsidRDefault="00AB3617" w:rsidP="008C10F3">
      <w:pPr>
        <w:pStyle w:val="BodyText"/>
        <w:jc w:val="center"/>
        <w:rPr>
          <w:rFonts w:ascii="Arial"/>
          <w:b/>
          <w:sz w:val="20"/>
        </w:rPr>
      </w:pPr>
    </w:p>
    <w:p w:rsidR="00AB3617" w:rsidRDefault="008C10F3" w:rsidP="008C10F3">
      <w:pPr>
        <w:pStyle w:val="BodyText"/>
        <w:jc w:val="center"/>
        <w:rPr>
          <w:rFonts w:ascii="Arial"/>
          <w:b/>
          <w:sz w:val="20"/>
        </w:rPr>
      </w:pPr>
      <w:r>
        <w:rPr>
          <w:rFonts w:ascii="Arial"/>
          <w:b/>
          <w:sz w:val="20"/>
        </w:rPr>
        <w:t>As of July 25, 2017</w:t>
      </w:r>
    </w:p>
    <w:p w:rsidR="00AB3617" w:rsidRDefault="00AB3617">
      <w:pPr>
        <w:pStyle w:val="BodyText"/>
        <w:rPr>
          <w:rFonts w:ascii="Arial"/>
          <w:b/>
          <w:sz w:val="20"/>
        </w:rPr>
      </w:pPr>
    </w:p>
    <w:p w:rsidR="00AB3617" w:rsidRDefault="00AB3617">
      <w:pPr>
        <w:pStyle w:val="BodyText"/>
        <w:rPr>
          <w:rFonts w:ascii="Arial"/>
          <w:b/>
          <w:sz w:val="20"/>
        </w:rPr>
      </w:pPr>
    </w:p>
    <w:p w:rsidR="00AB3617" w:rsidRDefault="00AB3617">
      <w:pPr>
        <w:pStyle w:val="BodyText"/>
        <w:rPr>
          <w:rFonts w:ascii="Arial"/>
          <w:b/>
          <w:sz w:val="20"/>
        </w:rPr>
      </w:pPr>
    </w:p>
    <w:p w:rsidR="00AB3617" w:rsidRDefault="00AB3617">
      <w:pPr>
        <w:pStyle w:val="BodyText"/>
        <w:rPr>
          <w:rFonts w:ascii="Arial"/>
          <w:b/>
          <w:sz w:val="20"/>
        </w:rPr>
      </w:pPr>
    </w:p>
    <w:p w:rsidR="00AB3617" w:rsidRDefault="00AB3617">
      <w:pPr>
        <w:pStyle w:val="BodyText"/>
        <w:rPr>
          <w:rFonts w:ascii="Arial"/>
          <w:b/>
          <w:sz w:val="20"/>
        </w:rPr>
      </w:pPr>
    </w:p>
    <w:p w:rsidR="00AB3617" w:rsidRDefault="00AB3617">
      <w:pPr>
        <w:pStyle w:val="BodyText"/>
        <w:rPr>
          <w:rFonts w:ascii="Arial"/>
          <w:b/>
          <w:sz w:val="20"/>
        </w:rPr>
      </w:pPr>
    </w:p>
    <w:p w:rsidR="00AB3617" w:rsidRDefault="00AB3617">
      <w:pPr>
        <w:pStyle w:val="BodyText"/>
        <w:rPr>
          <w:rFonts w:ascii="Arial"/>
          <w:b/>
          <w:sz w:val="20"/>
        </w:rPr>
      </w:pPr>
    </w:p>
    <w:p w:rsidR="00AB3617" w:rsidRDefault="00AB3617">
      <w:pPr>
        <w:pStyle w:val="BodyText"/>
        <w:rPr>
          <w:rFonts w:ascii="Arial"/>
          <w:b/>
          <w:sz w:val="20"/>
        </w:rPr>
      </w:pPr>
    </w:p>
    <w:p w:rsidR="00AB3617" w:rsidRDefault="00AB3617">
      <w:pPr>
        <w:pStyle w:val="BodyText"/>
        <w:rPr>
          <w:rFonts w:ascii="Arial"/>
          <w:b/>
          <w:sz w:val="20"/>
        </w:rPr>
      </w:pPr>
    </w:p>
    <w:p w:rsidR="00AB3617" w:rsidRDefault="00AB3617">
      <w:pPr>
        <w:pStyle w:val="BodyText"/>
        <w:rPr>
          <w:rFonts w:ascii="Arial"/>
          <w:b/>
          <w:sz w:val="20"/>
        </w:rPr>
      </w:pPr>
    </w:p>
    <w:p w:rsidR="00AB3617" w:rsidRDefault="00AB3617">
      <w:pPr>
        <w:pStyle w:val="BodyText"/>
        <w:rPr>
          <w:rFonts w:ascii="Arial"/>
          <w:b/>
          <w:sz w:val="20"/>
        </w:rPr>
      </w:pPr>
    </w:p>
    <w:p w:rsidR="00AB3617" w:rsidRDefault="00AB3617">
      <w:pPr>
        <w:pStyle w:val="BodyText"/>
        <w:rPr>
          <w:rFonts w:ascii="Arial"/>
          <w:b/>
          <w:sz w:val="20"/>
        </w:rPr>
      </w:pPr>
    </w:p>
    <w:p w:rsidR="00AB3617" w:rsidRDefault="00AB3617">
      <w:pPr>
        <w:pStyle w:val="BodyText"/>
        <w:rPr>
          <w:rFonts w:ascii="Arial"/>
          <w:b/>
          <w:sz w:val="20"/>
        </w:rPr>
      </w:pPr>
    </w:p>
    <w:p w:rsidR="00AB3617" w:rsidRDefault="00AB3617">
      <w:pPr>
        <w:pStyle w:val="BodyText"/>
        <w:rPr>
          <w:rFonts w:ascii="Arial"/>
          <w:b/>
          <w:sz w:val="20"/>
        </w:rPr>
      </w:pPr>
    </w:p>
    <w:p w:rsidR="00AB3617" w:rsidRDefault="00AB3617">
      <w:pPr>
        <w:pStyle w:val="BodyText"/>
        <w:rPr>
          <w:rFonts w:ascii="Arial"/>
          <w:b/>
          <w:sz w:val="20"/>
        </w:rPr>
      </w:pPr>
    </w:p>
    <w:p w:rsidR="00AB3617" w:rsidRDefault="00AB3617">
      <w:pPr>
        <w:pStyle w:val="BodyText"/>
        <w:rPr>
          <w:rFonts w:ascii="Arial"/>
          <w:b/>
          <w:sz w:val="20"/>
        </w:rPr>
      </w:pPr>
    </w:p>
    <w:p w:rsidR="00AB3617" w:rsidRDefault="00AB3617">
      <w:pPr>
        <w:pStyle w:val="BodyText"/>
        <w:rPr>
          <w:rFonts w:ascii="Arial"/>
          <w:b/>
          <w:sz w:val="20"/>
        </w:rPr>
      </w:pPr>
    </w:p>
    <w:p w:rsidR="00AB3617" w:rsidRDefault="00471C68">
      <w:pPr>
        <w:spacing w:before="209" w:line="322" w:lineRule="exact"/>
        <w:ind w:left="2042"/>
        <w:rPr>
          <w:rFonts w:ascii="Arial"/>
          <w:b/>
          <w:sz w:val="28"/>
        </w:rPr>
      </w:pPr>
      <w:r>
        <w:rPr>
          <w:rFonts w:ascii="Arial"/>
          <w:b/>
          <w:sz w:val="28"/>
        </w:rPr>
        <w:t>WFG National Title Insurance Company</w:t>
      </w:r>
    </w:p>
    <w:p w:rsidR="00AB3617" w:rsidRDefault="00AB3617">
      <w:pPr>
        <w:pStyle w:val="BodyText"/>
        <w:rPr>
          <w:rFonts w:ascii="Arial"/>
          <w:sz w:val="20"/>
        </w:rPr>
      </w:pPr>
    </w:p>
    <w:p w:rsidR="008C10F3" w:rsidRPr="002839C8" w:rsidRDefault="008C10F3" w:rsidP="008C10F3">
      <w:pPr>
        <w:jc w:val="center"/>
      </w:pPr>
      <w:r w:rsidRPr="002839C8">
        <w:t>12909 SW 68</w:t>
      </w:r>
      <w:r w:rsidRPr="002839C8">
        <w:rPr>
          <w:vertAlign w:val="superscript"/>
        </w:rPr>
        <w:t>th</w:t>
      </w:r>
      <w:r w:rsidRPr="002839C8">
        <w:t xml:space="preserve"> Parkway, Suite 350</w:t>
      </w:r>
    </w:p>
    <w:p w:rsidR="008C10F3" w:rsidRPr="002839C8" w:rsidRDefault="008C10F3" w:rsidP="008C10F3">
      <w:pPr>
        <w:jc w:val="center"/>
      </w:pPr>
      <w:r w:rsidRPr="002839C8">
        <w:t>Portland, OR 97223</w:t>
      </w:r>
    </w:p>
    <w:p w:rsidR="008C10F3" w:rsidRPr="002839C8" w:rsidRDefault="008C10F3" w:rsidP="008C10F3">
      <w:pPr>
        <w:jc w:val="center"/>
      </w:pPr>
      <w:proofErr w:type="spellStart"/>
      <w:r w:rsidRPr="002839C8">
        <w:t>Ph</w:t>
      </w:r>
      <w:proofErr w:type="spellEnd"/>
      <w:r w:rsidRPr="002839C8">
        <w:t>: (503) 387-3636</w:t>
      </w:r>
    </w:p>
    <w:p w:rsidR="008C10F3" w:rsidRDefault="008C10F3" w:rsidP="008C10F3">
      <w:pPr>
        <w:jc w:val="center"/>
        <w:rPr>
          <w:b/>
        </w:rPr>
      </w:pPr>
      <w:r w:rsidRPr="002839C8">
        <w:t>Fax: (503) 974-9596</w:t>
      </w:r>
    </w:p>
    <w:p w:rsidR="00AB3617" w:rsidRDefault="00AB3617">
      <w:pPr>
        <w:pStyle w:val="BodyText"/>
        <w:rPr>
          <w:rFonts w:ascii="Arial"/>
          <w:sz w:val="20"/>
        </w:rPr>
      </w:pPr>
    </w:p>
    <w:p w:rsidR="00AB3617" w:rsidRDefault="00AB3617">
      <w:pPr>
        <w:pStyle w:val="BodyText"/>
        <w:rPr>
          <w:rFonts w:ascii="Arial"/>
          <w:sz w:val="20"/>
        </w:rPr>
      </w:pPr>
      <w:bookmarkStart w:id="0" w:name="_GoBack"/>
      <w:bookmarkEnd w:id="0"/>
    </w:p>
    <w:p w:rsidR="00AB3617" w:rsidRDefault="00AB3617">
      <w:pPr>
        <w:pStyle w:val="BodyText"/>
        <w:rPr>
          <w:rFonts w:ascii="Arial"/>
          <w:sz w:val="20"/>
        </w:rPr>
      </w:pPr>
    </w:p>
    <w:p w:rsidR="00AB3617" w:rsidRDefault="00AB3617">
      <w:pPr>
        <w:pStyle w:val="BodyText"/>
        <w:spacing w:before="7"/>
        <w:rPr>
          <w:rFonts w:ascii="Arial"/>
          <w:sz w:val="29"/>
        </w:rPr>
      </w:pPr>
    </w:p>
    <w:p w:rsidR="00AB3617" w:rsidRDefault="00471C68">
      <w:pPr>
        <w:pStyle w:val="Heading2"/>
        <w:spacing w:before="95" w:line="235" w:lineRule="auto"/>
        <w:ind w:left="3414" w:right="3369"/>
        <w:jc w:val="center"/>
        <w:rPr>
          <w:u w:val="none"/>
        </w:rPr>
      </w:pPr>
      <w:r>
        <w:rPr>
          <w:w w:val="105"/>
          <w:u w:val="none"/>
        </w:rPr>
        <w:t>ARKANSAS SCHEDULE OF RATES</w:t>
      </w:r>
    </w:p>
    <w:p w:rsidR="00AB3617" w:rsidRDefault="00AB3617">
      <w:pPr>
        <w:pStyle w:val="BodyText"/>
        <w:spacing w:before="6"/>
        <w:rPr>
          <w:b/>
          <w:sz w:val="32"/>
        </w:rPr>
      </w:pPr>
    </w:p>
    <w:p w:rsidR="00AB3617" w:rsidRDefault="00471C68">
      <w:pPr>
        <w:pStyle w:val="BodyText"/>
        <w:spacing w:line="235" w:lineRule="auto"/>
        <w:ind w:left="100" w:right="135"/>
      </w:pPr>
      <w:r>
        <w:t xml:space="preserve">Search and examination fees, as well as closing and escrow fees, are separate from title insurance premiums in the state of Arkansas. The state of Arkansas is an unregulated state, and the title insurance premiums herein </w:t>
      </w:r>
      <w:proofErr w:type="gramStart"/>
      <w:r>
        <w:t>are not filed</w:t>
      </w:r>
      <w:proofErr w:type="gramEnd"/>
      <w:r>
        <w:t xml:space="preserve"> rates.</w:t>
      </w:r>
    </w:p>
    <w:p w:rsidR="00AB3617" w:rsidRDefault="00AB3617">
      <w:pPr>
        <w:pStyle w:val="BodyText"/>
        <w:spacing w:before="3"/>
      </w:pPr>
    </w:p>
    <w:p w:rsidR="00AB3617" w:rsidRDefault="00471C68">
      <w:pPr>
        <w:pStyle w:val="Heading2"/>
        <w:rPr>
          <w:u w:val="none"/>
        </w:rPr>
      </w:pPr>
      <w:r>
        <w:rPr>
          <w:w w:val="105"/>
          <w:u w:val="thick"/>
        </w:rPr>
        <w:t>OWNER’S POLIC</w:t>
      </w:r>
      <w:r>
        <w:rPr>
          <w:w w:val="105"/>
          <w:u w:val="thick"/>
        </w:rPr>
        <w:t>IES</w:t>
      </w:r>
    </w:p>
    <w:p w:rsidR="00AB3617" w:rsidRDefault="00AB3617">
      <w:pPr>
        <w:pStyle w:val="BodyText"/>
        <w:spacing w:before="5"/>
        <w:rPr>
          <w:b/>
          <w:sz w:val="16"/>
        </w:rPr>
      </w:pPr>
    </w:p>
    <w:p w:rsidR="00AB3617" w:rsidRDefault="00471C68">
      <w:pPr>
        <w:pStyle w:val="BodyText"/>
        <w:spacing w:before="90"/>
        <w:ind w:left="100"/>
      </w:pPr>
      <w:r>
        <w:t>The customer charge for original owner’s title insurance shall be:</w:t>
      </w:r>
    </w:p>
    <w:p w:rsidR="00AB3617" w:rsidRDefault="00AB3617">
      <w:pPr>
        <w:pStyle w:val="BodyText"/>
        <w:spacing w:before="3"/>
      </w:pPr>
    </w:p>
    <w:p w:rsidR="00AB3617" w:rsidRDefault="00471C68">
      <w:pPr>
        <w:pStyle w:val="Heading2"/>
        <w:spacing w:line="273" w:lineRule="exact"/>
        <w:ind w:left="0" w:right="1418"/>
        <w:jc w:val="right"/>
        <w:rPr>
          <w:u w:val="none"/>
        </w:rPr>
      </w:pPr>
      <w:r>
        <w:rPr>
          <w:w w:val="105"/>
          <w:u w:val="thick"/>
        </w:rPr>
        <w:t>Per Thousand</w:t>
      </w:r>
    </w:p>
    <w:p w:rsidR="00AB3617" w:rsidRDefault="00471C68">
      <w:pPr>
        <w:pStyle w:val="BodyText"/>
        <w:tabs>
          <w:tab w:val="left" w:pos="7299"/>
        </w:tabs>
        <w:spacing w:line="273" w:lineRule="exact"/>
        <w:ind w:left="100"/>
      </w:pPr>
      <w:r>
        <w:rPr>
          <w:spacing w:val="2"/>
        </w:rPr>
        <w:t>Up</w:t>
      </w:r>
      <w:r>
        <w:rPr>
          <w:spacing w:val="-19"/>
        </w:rPr>
        <w:t xml:space="preserve"> </w:t>
      </w:r>
      <w:r>
        <w:rPr>
          <w:spacing w:val="2"/>
        </w:rPr>
        <w:t>to</w:t>
      </w:r>
      <w:r>
        <w:rPr>
          <w:spacing w:val="-19"/>
        </w:rPr>
        <w:t xml:space="preserve"> </w:t>
      </w:r>
      <w:r>
        <w:rPr>
          <w:spacing w:val="6"/>
        </w:rPr>
        <w:t>$50,000</w:t>
      </w:r>
      <w:r>
        <w:rPr>
          <w:spacing w:val="-14"/>
        </w:rPr>
        <w:t xml:space="preserve"> </w:t>
      </w:r>
      <w:r>
        <w:rPr>
          <w:spacing w:val="1"/>
        </w:rPr>
        <w:t>of</w:t>
      </w:r>
      <w:r>
        <w:rPr>
          <w:spacing w:val="-14"/>
        </w:rPr>
        <w:t xml:space="preserve"> </w:t>
      </w:r>
      <w:r>
        <w:rPr>
          <w:spacing w:val="3"/>
        </w:rPr>
        <w:t>Liability</w:t>
      </w:r>
      <w:r>
        <w:rPr>
          <w:spacing w:val="-14"/>
        </w:rPr>
        <w:t xml:space="preserve"> </w:t>
      </w:r>
      <w:r>
        <w:rPr>
          <w:spacing w:val="3"/>
        </w:rPr>
        <w:t>written*</w:t>
      </w:r>
      <w:r>
        <w:rPr>
          <w:spacing w:val="3"/>
        </w:rPr>
        <w:tab/>
      </w:r>
      <w:r>
        <w:rPr>
          <w:spacing w:val="5"/>
        </w:rPr>
        <w:t>$3.50</w:t>
      </w:r>
    </w:p>
    <w:p w:rsidR="00AB3617" w:rsidRDefault="00471C68">
      <w:pPr>
        <w:pStyle w:val="BodyText"/>
        <w:tabs>
          <w:tab w:val="left" w:pos="7299"/>
        </w:tabs>
        <w:spacing w:before="9" w:line="273" w:lineRule="exact"/>
        <w:ind w:left="100"/>
      </w:pPr>
      <w:r>
        <w:rPr>
          <w:spacing w:val="3"/>
        </w:rPr>
        <w:t>Over</w:t>
      </w:r>
      <w:r>
        <w:rPr>
          <w:spacing w:val="-14"/>
        </w:rPr>
        <w:t xml:space="preserve"> </w:t>
      </w:r>
      <w:r>
        <w:t>$</w:t>
      </w:r>
      <w:r>
        <w:rPr>
          <w:spacing w:val="-45"/>
        </w:rPr>
        <w:t xml:space="preserve"> </w:t>
      </w:r>
      <w:r>
        <w:rPr>
          <w:spacing w:val="5"/>
        </w:rPr>
        <w:t>50,000</w:t>
      </w:r>
      <w:r>
        <w:rPr>
          <w:spacing w:val="-12"/>
        </w:rPr>
        <w:t xml:space="preserve"> </w:t>
      </w:r>
      <w:r>
        <w:rPr>
          <w:spacing w:val="3"/>
        </w:rPr>
        <w:t>and</w:t>
      </w:r>
      <w:r>
        <w:rPr>
          <w:spacing w:val="-12"/>
        </w:rPr>
        <w:t xml:space="preserve"> </w:t>
      </w:r>
      <w:r>
        <w:rPr>
          <w:spacing w:val="2"/>
        </w:rPr>
        <w:t>up</w:t>
      </w:r>
      <w:r>
        <w:rPr>
          <w:spacing w:val="-12"/>
        </w:rPr>
        <w:t xml:space="preserve"> </w:t>
      </w:r>
      <w:r>
        <w:rPr>
          <w:spacing w:val="2"/>
        </w:rPr>
        <w:t>to</w:t>
      </w:r>
      <w:r>
        <w:rPr>
          <w:spacing w:val="-12"/>
        </w:rPr>
        <w:t xml:space="preserve"> </w:t>
      </w:r>
      <w:r>
        <w:rPr>
          <w:spacing w:val="5"/>
        </w:rPr>
        <w:t>$100,000,</w:t>
      </w:r>
      <w:r>
        <w:rPr>
          <w:spacing w:val="-12"/>
        </w:rPr>
        <w:t xml:space="preserve"> </w:t>
      </w:r>
      <w:r>
        <w:rPr>
          <w:spacing w:val="3"/>
        </w:rPr>
        <w:t>add</w:t>
      </w:r>
      <w:r>
        <w:rPr>
          <w:spacing w:val="3"/>
        </w:rPr>
        <w:tab/>
      </w:r>
      <w:r>
        <w:rPr>
          <w:spacing w:val="5"/>
        </w:rPr>
        <w:t>$3.00</w:t>
      </w:r>
    </w:p>
    <w:p w:rsidR="00AB3617" w:rsidRDefault="00471C68">
      <w:pPr>
        <w:pStyle w:val="BodyText"/>
        <w:tabs>
          <w:tab w:val="left" w:pos="7299"/>
        </w:tabs>
        <w:spacing w:line="270" w:lineRule="exact"/>
        <w:ind w:left="100"/>
      </w:pPr>
      <w:r>
        <w:rPr>
          <w:spacing w:val="5"/>
        </w:rPr>
        <w:t>Over</w:t>
      </w:r>
      <w:r>
        <w:rPr>
          <w:spacing w:val="-15"/>
        </w:rPr>
        <w:t xml:space="preserve"> </w:t>
      </w:r>
      <w:r>
        <w:rPr>
          <w:spacing w:val="6"/>
        </w:rPr>
        <w:t>$100,000</w:t>
      </w:r>
      <w:r>
        <w:rPr>
          <w:spacing w:val="-15"/>
        </w:rPr>
        <w:t xml:space="preserve"> </w:t>
      </w:r>
      <w:r>
        <w:rPr>
          <w:spacing w:val="5"/>
        </w:rPr>
        <w:t>and</w:t>
      </w:r>
      <w:r>
        <w:rPr>
          <w:spacing w:val="-15"/>
        </w:rPr>
        <w:t xml:space="preserve"> </w:t>
      </w:r>
      <w:r>
        <w:rPr>
          <w:spacing w:val="3"/>
        </w:rPr>
        <w:t>up</w:t>
      </w:r>
      <w:r>
        <w:rPr>
          <w:spacing w:val="-15"/>
        </w:rPr>
        <w:t xml:space="preserve"> </w:t>
      </w:r>
      <w:r>
        <w:rPr>
          <w:spacing w:val="3"/>
        </w:rPr>
        <w:t>to</w:t>
      </w:r>
      <w:r>
        <w:rPr>
          <w:spacing w:val="-15"/>
        </w:rPr>
        <w:t xml:space="preserve"> </w:t>
      </w:r>
      <w:r>
        <w:rPr>
          <w:spacing w:val="6"/>
        </w:rPr>
        <w:t>$5,000,000,</w:t>
      </w:r>
      <w:r>
        <w:rPr>
          <w:spacing w:val="-15"/>
        </w:rPr>
        <w:t xml:space="preserve"> </w:t>
      </w:r>
      <w:r>
        <w:rPr>
          <w:spacing w:val="5"/>
        </w:rPr>
        <w:t>add</w:t>
      </w:r>
      <w:r>
        <w:rPr>
          <w:spacing w:val="5"/>
        </w:rPr>
        <w:tab/>
        <w:t>$2.00</w:t>
      </w:r>
    </w:p>
    <w:p w:rsidR="00AB3617" w:rsidRDefault="00471C68">
      <w:pPr>
        <w:pStyle w:val="BodyText"/>
        <w:tabs>
          <w:tab w:val="left" w:pos="7299"/>
        </w:tabs>
        <w:spacing w:line="273" w:lineRule="exact"/>
        <w:ind w:left="100"/>
      </w:pPr>
      <w:r>
        <w:rPr>
          <w:spacing w:val="5"/>
        </w:rPr>
        <w:t>Over</w:t>
      </w:r>
      <w:r>
        <w:rPr>
          <w:spacing w:val="-18"/>
        </w:rPr>
        <w:t xml:space="preserve"> </w:t>
      </w:r>
      <w:r>
        <w:rPr>
          <w:spacing w:val="6"/>
        </w:rPr>
        <w:t>$5,000,000</w:t>
      </w:r>
      <w:r>
        <w:rPr>
          <w:spacing w:val="-16"/>
        </w:rPr>
        <w:t xml:space="preserve"> </w:t>
      </w:r>
      <w:r>
        <w:rPr>
          <w:spacing w:val="3"/>
        </w:rPr>
        <w:t>and</w:t>
      </w:r>
      <w:r>
        <w:rPr>
          <w:spacing w:val="-16"/>
        </w:rPr>
        <w:t xml:space="preserve"> </w:t>
      </w:r>
      <w:r>
        <w:rPr>
          <w:spacing w:val="2"/>
        </w:rPr>
        <w:t>up</w:t>
      </w:r>
      <w:r>
        <w:rPr>
          <w:spacing w:val="-16"/>
        </w:rPr>
        <w:t xml:space="preserve"> </w:t>
      </w:r>
      <w:r>
        <w:rPr>
          <w:spacing w:val="2"/>
        </w:rPr>
        <w:t>to</w:t>
      </w:r>
      <w:r>
        <w:rPr>
          <w:spacing w:val="-16"/>
        </w:rPr>
        <w:t xml:space="preserve"> </w:t>
      </w:r>
      <w:r>
        <w:rPr>
          <w:spacing w:val="5"/>
        </w:rPr>
        <w:t>$10,000,000,</w:t>
      </w:r>
      <w:r>
        <w:rPr>
          <w:spacing w:val="-18"/>
        </w:rPr>
        <w:t xml:space="preserve"> </w:t>
      </w:r>
      <w:r>
        <w:rPr>
          <w:spacing w:val="5"/>
        </w:rPr>
        <w:t>add</w:t>
      </w:r>
      <w:r>
        <w:rPr>
          <w:spacing w:val="5"/>
        </w:rPr>
        <w:tab/>
      </w:r>
      <w:r>
        <w:rPr>
          <w:spacing w:val="3"/>
        </w:rPr>
        <w:t>$1.75</w:t>
      </w:r>
    </w:p>
    <w:p w:rsidR="00AB3617" w:rsidRDefault="00471C68">
      <w:pPr>
        <w:pStyle w:val="BodyText"/>
        <w:spacing w:before="9"/>
        <w:ind w:left="100"/>
      </w:pPr>
      <w:r>
        <w:t>*Minimum premium $50.00</w:t>
      </w:r>
    </w:p>
    <w:p w:rsidR="00AB3617" w:rsidRDefault="00AB3617">
      <w:pPr>
        <w:pStyle w:val="BodyText"/>
        <w:spacing w:before="7"/>
      </w:pPr>
    </w:p>
    <w:p w:rsidR="00AB3617" w:rsidRDefault="00471C68">
      <w:pPr>
        <w:pStyle w:val="BodyText"/>
        <w:spacing w:before="1" w:line="235" w:lineRule="auto"/>
        <w:ind w:left="100"/>
      </w:pPr>
      <w:r>
        <w:t xml:space="preserve">An extended coverage policy (ALTA Homeowner’s Policy) </w:t>
      </w:r>
      <w:proofErr w:type="gramStart"/>
      <w:r>
        <w:t>may be issued</w:t>
      </w:r>
      <w:proofErr w:type="gramEnd"/>
      <w:r>
        <w:t xml:space="preserve"> upon payment of a premium of 150% of the premium for an owner’s policy pursuant to the above schedule.</w:t>
      </w:r>
    </w:p>
    <w:p w:rsidR="00AB3617" w:rsidRDefault="00AB3617">
      <w:pPr>
        <w:pStyle w:val="BodyText"/>
        <w:spacing w:before="3"/>
      </w:pPr>
    </w:p>
    <w:p w:rsidR="00AB3617" w:rsidRDefault="00471C68">
      <w:pPr>
        <w:pStyle w:val="Heading2"/>
        <w:rPr>
          <w:u w:val="none"/>
        </w:rPr>
      </w:pPr>
      <w:r>
        <w:rPr>
          <w:w w:val="105"/>
          <w:u w:val="thick"/>
        </w:rPr>
        <w:t>LOAN POLICIES</w:t>
      </w:r>
    </w:p>
    <w:p w:rsidR="00AB3617" w:rsidRDefault="00AB3617">
      <w:pPr>
        <w:pStyle w:val="BodyText"/>
        <w:spacing w:before="5"/>
        <w:rPr>
          <w:b/>
          <w:sz w:val="16"/>
        </w:rPr>
      </w:pPr>
    </w:p>
    <w:p w:rsidR="00AB3617" w:rsidRDefault="00471C68">
      <w:pPr>
        <w:pStyle w:val="BodyText"/>
        <w:spacing w:before="90"/>
        <w:ind w:left="100"/>
      </w:pPr>
      <w:r>
        <w:t xml:space="preserve">The customer charge for original </w:t>
      </w:r>
      <w:r>
        <w:t>mortgage title insurance shall be:</w:t>
      </w:r>
    </w:p>
    <w:p w:rsidR="00AB3617" w:rsidRDefault="00AB3617">
      <w:pPr>
        <w:pStyle w:val="BodyText"/>
        <w:rPr>
          <w:sz w:val="23"/>
        </w:rPr>
      </w:pPr>
    </w:p>
    <w:p w:rsidR="00AB3617" w:rsidRDefault="00471C68">
      <w:pPr>
        <w:pStyle w:val="Heading2"/>
        <w:ind w:left="0" w:right="1418"/>
        <w:jc w:val="right"/>
        <w:rPr>
          <w:u w:val="none"/>
        </w:rPr>
      </w:pPr>
      <w:r>
        <w:rPr>
          <w:w w:val="105"/>
          <w:u w:val="thick"/>
        </w:rPr>
        <w:t>Per Thousand</w:t>
      </w:r>
    </w:p>
    <w:p w:rsidR="00AB3617" w:rsidRDefault="00471C68">
      <w:pPr>
        <w:pStyle w:val="BodyText"/>
        <w:tabs>
          <w:tab w:val="left" w:pos="7299"/>
        </w:tabs>
        <w:spacing w:before="9" w:line="273" w:lineRule="exact"/>
        <w:ind w:left="100"/>
      </w:pPr>
      <w:r>
        <w:rPr>
          <w:spacing w:val="2"/>
        </w:rPr>
        <w:t>Up</w:t>
      </w:r>
      <w:r>
        <w:rPr>
          <w:spacing w:val="-19"/>
        </w:rPr>
        <w:t xml:space="preserve"> </w:t>
      </w:r>
      <w:r>
        <w:rPr>
          <w:spacing w:val="2"/>
        </w:rPr>
        <w:t>to</w:t>
      </w:r>
      <w:r>
        <w:rPr>
          <w:spacing w:val="-19"/>
        </w:rPr>
        <w:t xml:space="preserve"> </w:t>
      </w:r>
      <w:r>
        <w:rPr>
          <w:spacing w:val="6"/>
        </w:rPr>
        <w:t>$50,000</w:t>
      </w:r>
      <w:r>
        <w:rPr>
          <w:spacing w:val="-14"/>
        </w:rPr>
        <w:t xml:space="preserve"> </w:t>
      </w:r>
      <w:r>
        <w:rPr>
          <w:spacing w:val="1"/>
        </w:rPr>
        <w:t>of</w:t>
      </w:r>
      <w:r>
        <w:rPr>
          <w:spacing w:val="-14"/>
        </w:rPr>
        <w:t xml:space="preserve"> </w:t>
      </w:r>
      <w:r>
        <w:rPr>
          <w:spacing w:val="3"/>
        </w:rPr>
        <w:t>Liability</w:t>
      </w:r>
      <w:r>
        <w:rPr>
          <w:spacing w:val="-14"/>
        </w:rPr>
        <w:t xml:space="preserve"> </w:t>
      </w:r>
      <w:r>
        <w:rPr>
          <w:spacing w:val="3"/>
        </w:rPr>
        <w:t>written*</w:t>
      </w:r>
      <w:r>
        <w:rPr>
          <w:spacing w:val="3"/>
        </w:rPr>
        <w:tab/>
      </w:r>
      <w:r>
        <w:rPr>
          <w:spacing w:val="5"/>
        </w:rPr>
        <w:t>$2.50</w:t>
      </w:r>
    </w:p>
    <w:p w:rsidR="00AB3617" w:rsidRDefault="00471C68">
      <w:pPr>
        <w:pStyle w:val="BodyText"/>
        <w:tabs>
          <w:tab w:val="left" w:pos="7299"/>
        </w:tabs>
        <w:spacing w:line="273" w:lineRule="exact"/>
        <w:ind w:left="100"/>
      </w:pPr>
      <w:r>
        <w:rPr>
          <w:spacing w:val="3"/>
        </w:rPr>
        <w:t>Over</w:t>
      </w:r>
      <w:r>
        <w:rPr>
          <w:spacing w:val="-15"/>
        </w:rPr>
        <w:t xml:space="preserve"> </w:t>
      </w:r>
      <w:r>
        <w:t>$</w:t>
      </w:r>
      <w:r>
        <w:rPr>
          <w:spacing w:val="-45"/>
        </w:rPr>
        <w:t xml:space="preserve"> </w:t>
      </w:r>
      <w:r>
        <w:rPr>
          <w:spacing w:val="5"/>
        </w:rPr>
        <w:t>50,000</w:t>
      </w:r>
      <w:r>
        <w:rPr>
          <w:spacing w:val="-13"/>
        </w:rPr>
        <w:t xml:space="preserve"> </w:t>
      </w:r>
      <w:r>
        <w:rPr>
          <w:spacing w:val="3"/>
        </w:rPr>
        <w:t>and</w:t>
      </w:r>
      <w:r>
        <w:rPr>
          <w:spacing w:val="-13"/>
        </w:rPr>
        <w:t xml:space="preserve"> </w:t>
      </w:r>
      <w:r>
        <w:rPr>
          <w:spacing w:val="2"/>
        </w:rPr>
        <w:t>up</w:t>
      </w:r>
      <w:r>
        <w:rPr>
          <w:spacing w:val="-13"/>
        </w:rPr>
        <w:t xml:space="preserve"> </w:t>
      </w:r>
      <w:r>
        <w:rPr>
          <w:spacing w:val="2"/>
        </w:rPr>
        <w:t>to</w:t>
      </w:r>
      <w:r>
        <w:rPr>
          <w:spacing w:val="-13"/>
        </w:rPr>
        <w:t xml:space="preserve"> </w:t>
      </w:r>
      <w:r>
        <w:rPr>
          <w:spacing w:val="3"/>
        </w:rPr>
        <w:t>$1</w:t>
      </w:r>
      <w:r>
        <w:rPr>
          <w:spacing w:val="-46"/>
        </w:rPr>
        <w:t xml:space="preserve"> </w:t>
      </w:r>
      <w:r>
        <w:rPr>
          <w:spacing w:val="6"/>
        </w:rPr>
        <w:t>00,000,</w:t>
      </w:r>
      <w:r>
        <w:rPr>
          <w:spacing w:val="-16"/>
        </w:rPr>
        <w:t xml:space="preserve"> </w:t>
      </w:r>
      <w:r>
        <w:rPr>
          <w:spacing w:val="2"/>
        </w:rPr>
        <w:t>add</w:t>
      </w:r>
      <w:r>
        <w:rPr>
          <w:spacing w:val="2"/>
        </w:rPr>
        <w:tab/>
      </w:r>
      <w:r>
        <w:rPr>
          <w:spacing w:val="5"/>
        </w:rPr>
        <w:t>$2.00</w:t>
      </w:r>
    </w:p>
    <w:p w:rsidR="00AB3617" w:rsidRDefault="00471C68">
      <w:pPr>
        <w:pStyle w:val="BodyText"/>
        <w:tabs>
          <w:tab w:val="left" w:pos="7299"/>
        </w:tabs>
        <w:spacing w:before="9" w:line="273" w:lineRule="exact"/>
        <w:ind w:left="100"/>
      </w:pPr>
      <w:r>
        <w:rPr>
          <w:spacing w:val="3"/>
        </w:rPr>
        <w:t>Over</w:t>
      </w:r>
      <w:r>
        <w:rPr>
          <w:spacing w:val="-16"/>
        </w:rPr>
        <w:t xml:space="preserve"> </w:t>
      </w:r>
      <w:r>
        <w:t>$</w:t>
      </w:r>
      <w:r>
        <w:rPr>
          <w:spacing w:val="-45"/>
        </w:rPr>
        <w:t xml:space="preserve"> </w:t>
      </w:r>
      <w:r>
        <w:rPr>
          <w:spacing w:val="5"/>
        </w:rPr>
        <w:t>100,000</w:t>
      </w:r>
      <w:r>
        <w:rPr>
          <w:spacing w:val="-13"/>
        </w:rPr>
        <w:t xml:space="preserve"> </w:t>
      </w:r>
      <w:r>
        <w:rPr>
          <w:spacing w:val="3"/>
        </w:rPr>
        <w:t>and</w:t>
      </w:r>
      <w:r>
        <w:rPr>
          <w:spacing w:val="-13"/>
        </w:rPr>
        <w:t xml:space="preserve"> </w:t>
      </w:r>
      <w:r>
        <w:rPr>
          <w:spacing w:val="2"/>
        </w:rPr>
        <w:t>up</w:t>
      </w:r>
      <w:r>
        <w:rPr>
          <w:spacing w:val="-13"/>
        </w:rPr>
        <w:t xml:space="preserve"> </w:t>
      </w:r>
      <w:r>
        <w:rPr>
          <w:spacing w:val="2"/>
        </w:rPr>
        <w:t>to</w:t>
      </w:r>
      <w:r>
        <w:rPr>
          <w:spacing w:val="-13"/>
        </w:rPr>
        <w:t xml:space="preserve"> </w:t>
      </w:r>
      <w:r>
        <w:t>$</w:t>
      </w:r>
      <w:r>
        <w:rPr>
          <w:spacing w:val="-44"/>
        </w:rPr>
        <w:t xml:space="preserve"> </w:t>
      </w:r>
      <w:r>
        <w:rPr>
          <w:spacing w:val="5"/>
        </w:rPr>
        <w:t>500,000,</w:t>
      </w:r>
      <w:r>
        <w:rPr>
          <w:spacing w:val="-16"/>
        </w:rPr>
        <w:t xml:space="preserve"> </w:t>
      </w:r>
      <w:r>
        <w:rPr>
          <w:spacing w:val="3"/>
        </w:rPr>
        <w:t>add</w:t>
      </w:r>
      <w:r>
        <w:rPr>
          <w:spacing w:val="3"/>
        </w:rPr>
        <w:tab/>
        <w:t>$1.75</w:t>
      </w:r>
    </w:p>
    <w:p w:rsidR="00AB3617" w:rsidRDefault="00471C68">
      <w:pPr>
        <w:pStyle w:val="BodyText"/>
        <w:tabs>
          <w:tab w:val="left" w:pos="7299"/>
        </w:tabs>
        <w:spacing w:line="270" w:lineRule="exact"/>
        <w:ind w:left="100"/>
      </w:pPr>
      <w:r>
        <w:rPr>
          <w:spacing w:val="3"/>
        </w:rPr>
        <w:t>Over</w:t>
      </w:r>
      <w:r>
        <w:rPr>
          <w:spacing w:val="-16"/>
        </w:rPr>
        <w:t xml:space="preserve"> </w:t>
      </w:r>
      <w:r>
        <w:t>$</w:t>
      </w:r>
      <w:r>
        <w:rPr>
          <w:spacing w:val="-45"/>
        </w:rPr>
        <w:t xml:space="preserve"> </w:t>
      </w:r>
      <w:r>
        <w:rPr>
          <w:spacing w:val="5"/>
        </w:rPr>
        <w:t>500,000</w:t>
      </w:r>
      <w:r>
        <w:rPr>
          <w:spacing w:val="-13"/>
        </w:rPr>
        <w:t xml:space="preserve"> </w:t>
      </w:r>
      <w:r>
        <w:rPr>
          <w:spacing w:val="3"/>
        </w:rPr>
        <w:t>and</w:t>
      </w:r>
      <w:r>
        <w:rPr>
          <w:spacing w:val="-14"/>
        </w:rPr>
        <w:t xml:space="preserve"> </w:t>
      </w:r>
      <w:r>
        <w:rPr>
          <w:spacing w:val="2"/>
        </w:rPr>
        <w:t>up</w:t>
      </w:r>
      <w:r>
        <w:rPr>
          <w:spacing w:val="-14"/>
        </w:rPr>
        <w:t xml:space="preserve"> </w:t>
      </w:r>
      <w:r>
        <w:rPr>
          <w:spacing w:val="2"/>
        </w:rPr>
        <w:t>to</w:t>
      </w:r>
      <w:r>
        <w:rPr>
          <w:spacing w:val="-14"/>
        </w:rPr>
        <w:t xml:space="preserve"> </w:t>
      </w:r>
      <w:r>
        <w:rPr>
          <w:spacing w:val="5"/>
        </w:rPr>
        <w:t>$10,000,000,</w:t>
      </w:r>
      <w:r>
        <w:rPr>
          <w:spacing w:val="-15"/>
        </w:rPr>
        <w:t xml:space="preserve"> </w:t>
      </w:r>
      <w:r>
        <w:rPr>
          <w:spacing w:val="5"/>
        </w:rPr>
        <w:t>add</w:t>
      </w:r>
      <w:r>
        <w:rPr>
          <w:spacing w:val="5"/>
        </w:rPr>
        <w:tab/>
      </w:r>
      <w:r>
        <w:rPr>
          <w:spacing w:val="3"/>
        </w:rPr>
        <w:t>$1.50</w:t>
      </w:r>
    </w:p>
    <w:p w:rsidR="00AB3617" w:rsidRDefault="00471C68">
      <w:pPr>
        <w:pStyle w:val="BodyText"/>
        <w:spacing w:line="273" w:lineRule="exact"/>
        <w:ind w:left="100"/>
      </w:pPr>
      <w:r>
        <w:t>*Minimum premium $50.00</w:t>
      </w:r>
    </w:p>
    <w:p w:rsidR="00AB3617" w:rsidRDefault="00AB3617">
      <w:pPr>
        <w:pStyle w:val="BodyText"/>
        <w:rPr>
          <w:sz w:val="26"/>
        </w:rPr>
      </w:pPr>
    </w:p>
    <w:p w:rsidR="00AB3617" w:rsidRDefault="00AB3617">
      <w:pPr>
        <w:pStyle w:val="BodyText"/>
        <w:rPr>
          <w:sz w:val="23"/>
        </w:rPr>
      </w:pPr>
    </w:p>
    <w:p w:rsidR="00AB3617" w:rsidRDefault="00471C68">
      <w:pPr>
        <w:pStyle w:val="Heading2"/>
        <w:spacing w:before="1"/>
        <w:rPr>
          <w:u w:val="none"/>
        </w:rPr>
      </w:pPr>
      <w:r>
        <w:rPr>
          <w:w w:val="105"/>
          <w:u w:val="thick"/>
        </w:rPr>
        <w:t>RE-ISSUE RATES – OWNER’S POLICIES</w:t>
      </w:r>
    </w:p>
    <w:p w:rsidR="00AB3617" w:rsidRDefault="00AB3617">
      <w:pPr>
        <w:pStyle w:val="BodyText"/>
        <w:spacing w:before="1"/>
        <w:rPr>
          <w:b/>
          <w:sz w:val="15"/>
        </w:rPr>
      </w:pPr>
    </w:p>
    <w:p w:rsidR="00AB3617" w:rsidRDefault="00471C68">
      <w:pPr>
        <w:pStyle w:val="BodyText"/>
        <w:spacing w:before="90"/>
        <w:ind w:left="100"/>
      </w:pPr>
      <w:r>
        <w:t>The re- issue rate, where applicable, shall be 60% of the original customer charge. Re- issue</w:t>
      </w:r>
    </w:p>
    <w:p w:rsidR="008C10F3" w:rsidRDefault="008C10F3"/>
    <w:p w:rsidR="008C10F3" w:rsidRPr="008C10F3" w:rsidRDefault="008C10F3" w:rsidP="008C10F3"/>
    <w:p w:rsidR="008C10F3" w:rsidRDefault="008C10F3" w:rsidP="008C10F3"/>
    <w:p w:rsidR="00AB3617" w:rsidRPr="008C10F3" w:rsidRDefault="00AB3617" w:rsidP="008C10F3">
      <w:pPr>
        <w:sectPr w:rsidR="00AB3617" w:rsidRPr="008C10F3">
          <w:footerReference w:type="default" r:id="rId7"/>
          <w:pgSz w:w="12240" w:h="15840"/>
          <w:pgMar w:top="1500" w:right="1400" w:bottom="280" w:left="1340" w:header="720" w:footer="720" w:gutter="0"/>
          <w:cols w:space="720"/>
        </w:sectPr>
      </w:pPr>
    </w:p>
    <w:p w:rsidR="00AB3617" w:rsidRDefault="00471C68">
      <w:pPr>
        <w:pStyle w:val="BodyText"/>
        <w:spacing w:before="66" w:line="242" w:lineRule="auto"/>
        <w:ind w:left="100"/>
      </w:pPr>
      <w:proofErr w:type="gramStart"/>
      <w:r>
        <w:lastRenderedPageBreak/>
        <w:t>rates</w:t>
      </w:r>
      <w:proofErr w:type="gramEnd"/>
      <w:r>
        <w:t xml:space="preserve"> may apply to an owner’s policy or a homeowner’s policy, when a prior owner’s policy of title insurance, issued by any underwriter within the preceding 10 years, is presented with the application for title insurance.</w:t>
      </w:r>
    </w:p>
    <w:p w:rsidR="00AB3617" w:rsidRDefault="00AB3617">
      <w:pPr>
        <w:pStyle w:val="BodyText"/>
        <w:spacing w:before="9"/>
        <w:rPr>
          <w:sz w:val="23"/>
        </w:rPr>
      </w:pPr>
    </w:p>
    <w:p w:rsidR="00AB3617" w:rsidRDefault="00471C68">
      <w:pPr>
        <w:pStyle w:val="Heading2"/>
        <w:rPr>
          <w:u w:val="none"/>
        </w:rPr>
      </w:pPr>
      <w:r>
        <w:rPr>
          <w:w w:val="105"/>
          <w:u w:val="thick"/>
        </w:rPr>
        <w:t>REISSUE RATES – LOAN POLICIES</w:t>
      </w:r>
    </w:p>
    <w:p w:rsidR="00AB3617" w:rsidRDefault="00AB3617">
      <w:pPr>
        <w:pStyle w:val="BodyText"/>
        <w:spacing w:before="1"/>
        <w:rPr>
          <w:b/>
          <w:sz w:val="15"/>
        </w:rPr>
      </w:pPr>
    </w:p>
    <w:p w:rsidR="00AB3617" w:rsidRDefault="00471C68">
      <w:pPr>
        <w:pStyle w:val="BodyText"/>
        <w:spacing w:before="90" w:line="242" w:lineRule="auto"/>
        <w:ind w:left="100" w:right="135"/>
      </w:pPr>
      <w:r>
        <w:t>Th</w:t>
      </w:r>
      <w:r>
        <w:t>e re- issue rate, where applicable, shall be 60% of the original customer charge. Re- issue rates may apply to a loan policy, when an prior owner’s or loan policy, issued by any underwriter within the preceding 10 years, is presented with the application f</w:t>
      </w:r>
      <w:r>
        <w:t xml:space="preserve">or title insurance. The re- issue rate </w:t>
      </w:r>
      <w:proofErr w:type="gramStart"/>
      <w:r>
        <w:t>may be applied</w:t>
      </w:r>
      <w:proofErr w:type="gramEnd"/>
      <w:r>
        <w:t xml:space="preserve"> up to the face amount of the prior policy.</w:t>
      </w:r>
    </w:p>
    <w:p w:rsidR="00AB3617" w:rsidRDefault="00AB3617">
      <w:pPr>
        <w:pStyle w:val="BodyText"/>
        <w:spacing w:before="1"/>
        <w:rPr>
          <w:sz w:val="23"/>
        </w:rPr>
      </w:pPr>
    </w:p>
    <w:p w:rsidR="00AB3617" w:rsidRDefault="00471C68">
      <w:pPr>
        <w:pStyle w:val="Heading2"/>
        <w:rPr>
          <w:u w:val="none"/>
        </w:rPr>
      </w:pPr>
      <w:r>
        <w:rPr>
          <w:w w:val="105"/>
          <w:u w:val="thick"/>
        </w:rPr>
        <w:t>SIMULTANEOUS ISSUE RATES</w:t>
      </w:r>
    </w:p>
    <w:p w:rsidR="00AB3617" w:rsidRDefault="00AB3617">
      <w:pPr>
        <w:pStyle w:val="BodyText"/>
        <w:spacing w:before="5"/>
        <w:rPr>
          <w:b/>
          <w:sz w:val="16"/>
        </w:rPr>
      </w:pPr>
    </w:p>
    <w:p w:rsidR="00AB3617" w:rsidRDefault="00471C68">
      <w:pPr>
        <w:pStyle w:val="BodyText"/>
        <w:spacing w:before="90"/>
        <w:ind w:left="100"/>
      </w:pPr>
      <w:r>
        <w:t xml:space="preserve">The simultaneous issue rate </w:t>
      </w:r>
      <w:proofErr w:type="spellStart"/>
      <w:r>
        <w:t>fro</w:t>
      </w:r>
      <w:proofErr w:type="spellEnd"/>
      <w:r>
        <w:t xml:space="preserve"> the loan policy if issued in connection with an owner’s policy is</w:t>
      </w:r>
    </w:p>
    <w:p w:rsidR="00AB3617" w:rsidRDefault="00471C68">
      <w:pPr>
        <w:pStyle w:val="BodyText"/>
        <w:spacing w:before="9"/>
        <w:ind w:left="100"/>
      </w:pPr>
      <w:r>
        <w:t>$25.00.</w:t>
      </w:r>
    </w:p>
    <w:p w:rsidR="00AB3617" w:rsidRDefault="00AB3617">
      <w:pPr>
        <w:pStyle w:val="BodyText"/>
        <w:spacing w:before="11"/>
        <w:rPr>
          <w:sz w:val="22"/>
        </w:rPr>
      </w:pPr>
    </w:p>
    <w:p w:rsidR="008C10F3" w:rsidRPr="004524C7" w:rsidRDefault="008C10F3" w:rsidP="008C10F3">
      <w:pPr>
        <w:pStyle w:val="Heading2"/>
        <w:rPr>
          <w:b w:val="0"/>
        </w:rPr>
      </w:pPr>
      <w:r w:rsidRPr="004524C7">
        <w:t>MASTER HOME EQUITY AND HE</w:t>
      </w:r>
      <w:r w:rsidRPr="004524C7">
        <w:rPr>
          <w:vertAlign w:val="superscript"/>
        </w:rPr>
        <w:t>2</w:t>
      </w:r>
      <w:r w:rsidRPr="004524C7">
        <w:t xml:space="preserve"> -- HOME EQUITY 2</w:t>
      </w:r>
      <w:r w:rsidRPr="004524C7">
        <w:rPr>
          <w:vertAlign w:val="superscript"/>
        </w:rPr>
        <w:t>nd</w:t>
      </w:r>
      <w:r w:rsidRPr="004524C7">
        <w:t xml:space="preserve"> GENERATION TITLE INSURANCE POLICIES</w:t>
      </w:r>
    </w:p>
    <w:p w:rsidR="008C10F3" w:rsidRDefault="008C10F3" w:rsidP="008C10F3">
      <w:pPr>
        <w:pStyle w:val="Heading3"/>
        <w:ind w:left="360"/>
        <w:rPr>
          <w:b/>
        </w:rPr>
      </w:pPr>
      <w:r>
        <w:t>Both the Master Home Equity policy and the Home Equity 2</w:t>
      </w:r>
      <w:r w:rsidRPr="00B94DE8">
        <w:rPr>
          <w:vertAlign w:val="superscript"/>
        </w:rPr>
        <w:t>nd</w:t>
      </w:r>
      <w:r>
        <w:t xml:space="preserve"> Generation Title Insurance policy are master policies with </w:t>
      </w:r>
      <w:r w:rsidRPr="00C511D4">
        <w:t xml:space="preserve">individual coverage certificates </w:t>
      </w:r>
      <w:r>
        <w:t xml:space="preserve">or </w:t>
      </w:r>
      <w:r w:rsidRPr="00C511D4">
        <w:t xml:space="preserve">electronic confirmations of coverage issued for each property and loan to </w:t>
      </w:r>
      <w:proofErr w:type="gramStart"/>
      <w:r w:rsidRPr="00C511D4">
        <w:t>be insured</w:t>
      </w:r>
      <w:proofErr w:type="gramEnd"/>
      <w:r w:rsidRPr="00C511D4">
        <w:t>.</w:t>
      </w:r>
    </w:p>
    <w:p w:rsidR="008C10F3" w:rsidRDefault="008C10F3" w:rsidP="008C10F3">
      <w:pPr>
        <w:pStyle w:val="Heading3"/>
        <w:ind w:left="360"/>
      </w:pPr>
      <w:r w:rsidRPr="00754E3D">
        <w:t xml:space="preserve">The charge for </w:t>
      </w:r>
      <w:r>
        <w:t xml:space="preserve">issuing a certificate for either type of policy </w:t>
      </w:r>
      <w:r w:rsidRPr="00754E3D">
        <w:t>shall be:</w:t>
      </w:r>
    </w:p>
    <w:p w:rsidR="008C10F3" w:rsidRPr="008C10F3" w:rsidRDefault="008C10F3" w:rsidP="008C10F3"/>
    <w:p w:rsidR="008C10F3" w:rsidRPr="00690679" w:rsidRDefault="008C10F3" w:rsidP="008C10F3">
      <w:pPr>
        <w:pStyle w:val="Bullet"/>
        <w:ind w:left="1080"/>
      </w:pPr>
      <w:r w:rsidRPr="00690679">
        <w:t>$45.00 per transaction for residential home equity loans up to $250,000</w:t>
      </w:r>
    </w:p>
    <w:p w:rsidR="008C10F3" w:rsidRPr="00690679" w:rsidRDefault="008C10F3" w:rsidP="008C10F3">
      <w:pPr>
        <w:pStyle w:val="Bullet"/>
        <w:ind w:left="1080"/>
      </w:pPr>
      <w:r w:rsidRPr="00690679">
        <w:t>$75.00 per transaction for residential home equity loans over $250,000 and up to $500,000.</w:t>
      </w:r>
      <w:bookmarkStart w:id="1" w:name="_Toc428123205"/>
      <w:bookmarkStart w:id="2" w:name="_Toc428123445"/>
      <w:bookmarkStart w:id="3" w:name="_Toc428123685"/>
      <w:bookmarkStart w:id="4" w:name="_Toc428123923"/>
      <w:bookmarkStart w:id="5" w:name="_Toc428124163"/>
      <w:bookmarkStart w:id="6" w:name="_Toc428124402"/>
      <w:bookmarkStart w:id="7" w:name="_Toc428124639"/>
      <w:bookmarkStart w:id="8" w:name="_Toc428124877"/>
      <w:bookmarkStart w:id="9" w:name="_Toc428125114"/>
      <w:bookmarkEnd w:id="1"/>
      <w:bookmarkEnd w:id="2"/>
      <w:bookmarkEnd w:id="3"/>
      <w:bookmarkEnd w:id="4"/>
      <w:bookmarkEnd w:id="5"/>
      <w:bookmarkEnd w:id="6"/>
      <w:bookmarkEnd w:id="7"/>
      <w:bookmarkEnd w:id="8"/>
      <w:bookmarkEnd w:id="9"/>
    </w:p>
    <w:p w:rsidR="008C10F3" w:rsidRPr="00690679" w:rsidRDefault="008C10F3" w:rsidP="008C10F3">
      <w:pPr>
        <w:pStyle w:val="Bullet"/>
        <w:ind w:left="1080"/>
      </w:pPr>
      <w:r w:rsidRPr="00690679">
        <w:t>$250.00 per transaction for residential home equity loans over $500,000 and up to $750,000.</w:t>
      </w:r>
    </w:p>
    <w:p w:rsidR="008C10F3" w:rsidRPr="005E1064" w:rsidRDefault="008C10F3" w:rsidP="008C10F3">
      <w:pPr>
        <w:pStyle w:val="Bullet"/>
        <w:ind w:left="1080"/>
      </w:pPr>
      <w:r w:rsidRPr="00690679">
        <w:t>$300.00 per transaction for residential home equity loans over $750,000 and up to $1,000,000</w:t>
      </w:r>
    </w:p>
    <w:p w:rsidR="008C10F3" w:rsidRDefault="008C10F3" w:rsidP="008C10F3">
      <w:pPr>
        <w:pStyle w:val="Bullet"/>
        <w:ind w:left="360"/>
      </w:pPr>
      <w:r w:rsidRPr="005E1064">
        <w:t xml:space="preserve">This pricing does not include any charges for title searches, examinations, property reports, credit reports, recording fees, other charges, or other monies advanced on behalf of the insured or borrower, any of which </w:t>
      </w:r>
      <w:proofErr w:type="gramStart"/>
      <w:r w:rsidRPr="005E1064">
        <w:t>may be charged</w:t>
      </w:r>
      <w:proofErr w:type="gramEnd"/>
      <w:r w:rsidRPr="005E1064">
        <w:t xml:space="preserve"> at amounts agreed with the lender.</w:t>
      </w:r>
    </w:p>
    <w:p w:rsidR="008C10F3" w:rsidRDefault="008C10F3" w:rsidP="008C10F3">
      <w:pPr>
        <w:ind w:left="360"/>
      </w:pPr>
    </w:p>
    <w:p w:rsidR="008C10F3" w:rsidRDefault="008C10F3" w:rsidP="008C10F3">
      <w:pPr>
        <w:ind w:left="360"/>
        <w:rPr>
          <w:rFonts w:eastAsia="Calibri"/>
          <w:sz w:val="24"/>
          <w:szCs w:val="24"/>
        </w:rPr>
      </w:pPr>
      <w:r w:rsidRPr="00C511D4">
        <w:rPr>
          <w:rFonts w:eastAsia="Calibri"/>
          <w:sz w:val="24"/>
          <w:szCs w:val="24"/>
        </w:rPr>
        <w:t xml:space="preserve">Because </w:t>
      </w:r>
      <w:r>
        <w:rPr>
          <w:rFonts w:eastAsia="Calibri"/>
          <w:sz w:val="24"/>
          <w:szCs w:val="24"/>
        </w:rPr>
        <w:t xml:space="preserve">of </w:t>
      </w:r>
      <w:r w:rsidRPr="00C511D4">
        <w:rPr>
          <w:rFonts w:eastAsia="Calibri"/>
          <w:sz w:val="24"/>
          <w:szCs w:val="24"/>
        </w:rPr>
        <w:t xml:space="preserve">the low price and risk profile of </w:t>
      </w:r>
      <w:r>
        <w:rPr>
          <w:rFonts w:eastAsia="Calibri"/>
          <w:sz w:val="24"/>
          <w:szCs w:val="24"/>
        </w:rPr>
        <w:t xml:space="preserve">these policies, the pricing </w:t>
      </w:r>
      <w:r w:rsidRPr="00C511D4">
        <w:rPr>
          <w:rFonts w:eastAsia="Calibri"/>
          <w:sz w:val="24"/>
          <w:szCs w:val="24"/>
        </w:rPr>
        <w:t>does not fit with normal agency splits</w:t>
      </w:r>
      <w:r>
        <w:rPr>
          <w:rFonts w:eastAsia="Calibri"/>
          <w:sz w:val="24"/>
          <w:szCs w:val="24"/>
        </w:rPr>
        <w:t xml:space="preserve">. </w:t>
      </w:r>
      <w:proofErr w:type="gramStart"/>
      <w:r>
        <w:rPr>
          <w:rFonts w:eastAsia="Calibri"/>
          <w:sz w:val="24"/>
          <w:szCs w:val="24"/>
        </w:rPr>
        <w:t xml:space="preserve">These </w:t>
      </w:r>
      <w:r w:rsidRPr="00C511D4">
        <w:rPr>
          <w:rFonts w:eastAsia="Calibri"/>
          <w:sz w:val="24"/>
          <w:szCs w:val="24"/>
        </w:rPr>
        <w:t>polic</w:t>
      </w:r>
      <w:r>
        <w:rPr>
          <w:rFonts w:eastAsia="Calibri"/>
          <w:sz w:val="24"/>
          <w:szCs w:val="24"/>
        </w:rPr>
        <w:t>ies</w:t>
      </w:r>
      <w:r w:rsidRPr="00C511D4">
        <w:rPr>
          <w:rFonts w:eastAsia="Calibri"/>
          <w:sz w:val="24"/>
          <w:szCs w:val="24"/>
        </w:rPr>
        <w:t xml:space="preserve"> may only be issued by an Offering Provider that has entered into an addendum to their agency agreement or a separate agreement with the Company</w:t>
      </w:r>
      <w:proofErr w:type="gramEnd"/>
      <w:r w:rsidRPr="00C511D4">
        <w:rPr>
          <w:rFonts w:eastAsia="Calibri"/>
          <w:sz w:val="24"/>
          <w:szCs w:val="24"/>
        </w:rPr>
        <w:t xml:space="preserve"> specifically authorizing it to provide this policy to certain enumerated lenders</w:t>
      </w:r>
      <w:r>
        <w:rPr>
          <w:rFonts w:eastAsia="Calibri"/>
          <w:sz w:val="24"/>
          <w:szCs w:val="24"/>
        </w:rPr>
        <w:t>.</w:t>
      </w:r>
    </w:p>
    <w:p w:rsidR="00AB3617" w:rsidRDefault="00AB3617">
      <w:pPr>
        <w:pStyle w:val="BodyText"/>
      </w:pPr>
    </w:p>
    <w:p w:rsidR="00AB3617" w:rsidRDefault="00471C68">
      <w:pPr>
        <w:pStyle w:val="Heading2"/>
        <w:rPr>
          <w:u w:val="none"/>
        </w:rPr>
      </w:pPr>
      <w:r>
        <w:rPr>
          <w:u w:val="thick"/>
        </w:rPr>
        <w:t>ENDORSEMENTS</w:t>
      </w:r>
    </w:p>
    <w:p w:rsidR="00AB3617" w:rsidRDefault="00AB3617">
      <w:pPr>
        <w:pStyle w:val="BodyText"/>
        <w:spacing w:before="5"/>
        <w:rPr>
          <w:b/>
          <w:sz w:val="16"/>
        </w:rPr>
      </w:pPr>
    </w:p>
    <w:p w:rsidR="00AB3617" w:rsidRDefault="00471C68">
      <w:pPr>
        <w:pStyle w:val="BodyText"/>
        <w:spacing w:before="90"/>
        <w:ind w:left="100" w:right="135"/>
      </w:pPr>
      <w:r>
        <w:t xml:space="preserve">There shall be no customer charge for endorsements issued in connection with an owner’s or loan policy issued in connection with transaction involving a one to four family residential dwelling. Endorsements </w:t>
      </w:r>
      <w:proofErr w:type="gramStart"/>
      <w:r>
        <w:t>may be issued</w:t>
      </w:r>
      <w:proofErr w:type="gramEnd"/>
      <w:r>
        <w:t xml:space="preserve"> on transactions involving multi- fa</w:t>
      </w:r>
      <w:r>
        <w:t>mily residential properties, or commercial properties, and the rates therefore are negotiable.</w:t>
      </w:r>
    </w:p>
    <w:p w:rsidR="00AB3617" w:rsidRDefault="00AB3617">
      <w:pPr>
        <w:pStyle w:val="BodyText"/>
      </w:pPr>
    </w:p>
    <w:p w:rsidR="00AB3617" w:rsidRDefault="00471C68">
      <w:pPr>
        <w:pStyle w:val="BodyText"/>
        <w:ind w:left="100"/>
      </w:pPr>
      <w:r>
        <w:lastRenderedPageBreak/>
        <w:t xml:space="preserve">In a bid situation where the customer charge may be different </w:t>
      </w:r>
      <w:proofErr w:type="gramStart"/>
      <w:r>
        <w:t>than</w:t>
      </w:r>
      <w:proofErr w:type="gramEnd"/>
      <w:r>
        <w:t xml:space="preserve"> shown herein, approval of the charge to the customer and the gross premium percentage thereof</w:t>
      </w:r>
      <w:r>
        <w:t xml:space="preserve"> to be remitted to Underwriter must be agreed upon between the agent and the National Office of Underwriter, in Columbia, South Carolina.</w:t>
      </w:r>
    </w:p>
    <w:sectPr w:rsidR="00AB3617">
      <w:pgSz w:w="12240" w:h="15840"/>
      <w:pgMar w:top="1360" w:right="1400" w:bottom="28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C68" w:rsidRDefault="00471C68" w:rsidP="008C10F3">
      <w:r>
        <w:separator/>
      </w:r>
    </w:p>
  </w:endnote>
  <w:endnote w:type="continuationSeparator" w:id="0">
    <w:p w:rsidR="00471C68" w:rsidRDefault="00471C68" w:rsidP="008C1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0F3" w:rsidRDefault="008C10F3">
    <w:pPr>
      <w:pStyle w:val="Footer"/>
    </w:pPr>
    <w:r>
      <w:t>As of 7-25-17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C68" w:rsidRDefault="00471C68" w:rsidP="008C10F3">
      <w:r>
        <w:separator/>
      </w:r>
    </w:p>
  </w:footnote>
  <w:footnote w:type="continuationSeparator" w:id="0">
    <w:p w:rsidR="00471C68" w:rsidRDefault="00471C68" w:rsidP="008C10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617"/>
    <w:rsid w:val="00471C68"/>
    <w:rsid w:val="008C10F3"/>
    <w:rsid w:val="00AB3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9FCE3D-780A-4E13-AF18-AAA72F18D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
      <w:ind w:left="2333" w:right="2458"/>
      <w:jc w:val="center"/>
      <w:outlineLvl w:val="0"/>
    </w:pPr>
    <w:rPr>
      <w:rFonts w:ascii="Arial" w:eastAsia="Arial" w:hAnsi="Arial" w:cs="Arial"/>
      <w:b/>
      <w:bCs/>
      <w:sz w:val="52"/>
      <w:szCs w:val="52"/>
    </w:rPr>
  </w:style>
  <w:style w:type="paragraph" w:styleId="Heading2">
    <w:name w:val="heading 2"/>
    <w:basedOn w:val="Normal"/>
    <w:uiPriority w:val="1"/>
    <w:qFormat/>
    <w:pPr>
      <w:ind w:left="100"/>
      <w:outlineLvl w:val="1"/>
    </w:pPr>
    <w:rPr>
      <w:b/>
      <w:bCs/>
      <w:sz w:val="24"/>
      <w:szCs w:val="24"/>
      <w:u w:val="single" w:color="000000"/>
    </w:rPr>
  </w:style>
  <w:style w:type="paragraph" w:styleId="Heading3">
    <w:name w:val="heading 3"/>
    <w:basedOn w:val="Normal"/>
    <w:next w:val="Normal"/>
    <w:link w:val="Heading3Char"/>
    <w:uiPriority w:val="9"/>
    <w:semiHidden/>
    <w:unhideWhenUsed/>
    <w:qFormat/>
    <w:rsid w:val="008C10F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3Char">
    <w:name w:val="Heading 3 Char"/>
    <w:basedOn w:val="DefaultParagraphFont"/>
    <w:link w:val="Heading3"/>
    <w:uiPriority w:val="9"/>
    <w:semiHidden/>
    <w:rsid w:val="008C10F3"/>
    <w:rPr>
      <w:rFonts w:asciiTheme="majorHAnsi" w:eastAsiaTheme="majorEastAsia" w:hAnsiTheme="majorHAnsi" w:cstheme="majorBidi"/>
      <w:color w:val="243F60" w:themeColor="accent1" w:themeShade="7F"/>
      <w:sz w:val="24"/>
      <w:szCs w:val="24"/>
    </w:rPr>
  </w:style>
  <w:style w:type="paragraph" w:customStyle="1" w:styleId="Bullet">
    <w:name w:val="Bullet"/>
    <w:basedOn w:val="BodyText"/>
    <w:autoRedefine/>
    <w:qFormat/>
    <w:rsid w:val="008C10F3"/>
    <w:pPr>
      <w:widowControl/>
      <w:tabs>
        <w:tab w:val="left" w:pos="720"/>
        <w:tab w:val="left" w:pos="1170"/>
      </w:tabs>
      <w:autoSpaceDE/>
      <w:autoSpaceDN/>
      <w:spacing w:after="120"/>
      <w:ind w:left="630"/>
      <w:jc w:val="both"/>
    </w:pPr>
    <w:rPr>
      <w:rFonts w:eastAsia="Arial"/>
    </w:rPr>
  </w:style>
  <w:style w:type="paragraph" w:styleId="Header">
    <w:name w:val="header"/>
    <w:basedOn w:val="Normal"/>
    <w:link w:val="HeaderChar"/>
    <w:uiPriority w:val="99"/>
    <w:unhideWhenUsed/>
    <w:rsid w:val="008C10F3"/>
    <w:pPr>
      <w:tabs>
        <w:tab w:val="center" w:pos="4680"/>
        <w:tab w:val="right" w:pos="9360"/>
      </w:tabs>
    </w:pPr>
  </w:style>
  <w:style w:type="character" w:customStyle="1" w:styleId="HeaderChar">
    <w:name w:val="Header Char"/>
    <w:basedOn w:val="DefaultParagraphFont"/>
    <w:link w:val="Header"/>
    <w:uiPriority w:val="99"/>
    <w:rsid w:val="008C10F3"/>
    <w:rPr>
      <w:rFonts w:ascii="Times New Roman" w:eastAsia="Times New Roman" w:hAnsi="Times New Roman" w:cs="Times New Roman"/>
    </w:rPr>
  </w:style>
  <w:style w:type="paragraph" w:styleId="Footer">
    <w:name w:val="footer"/>
    <w:basedOn w:val="Normal"/>
    <w:link w:val="FooterChar"/>
    <w:uiPriority w:val="99"/>
    <w:unhideWhenUsed/>
    <w:rsid w:val="008C10F3"/>
    <w:pPr>
      <w:tabs>
        <w:tab w:val="center" w:pos="4680"/>
        <w:tab w:val="right" w:pos="9360"/>
      </w:tabs>
    </w:pPr>
  </w:style>
  <w:style w:type="character" w:customStyle="1" w:styleId="FooterChar">
    <w:name w:val="Footer Char"/>
    <w:basedOn w:val="DefaultParagraphFont"/>
    <w:link w:val="Footer"/>
    <w:uiPriority w:val="99"/>
    <w:rsid w:val="008C10F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ATIC Arkansas Rates.doc</vt:lpstr>
    </vt:vector>
  </TitlesOfParts>
  <Company>Hewlett-Packard Company</Company>
  <LinksUpToDate>false</LinksUpToDate>
  <CharactersWithSpaces>4179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ATIC Arkansas Rates.doc</dc:title>
  <dc:creator>rhinson</dc:creator>
  <cp:lastModifiedBy>Debbie Thoms</cp:lastModifiedBy>
  <cp:revision>2</cp:revision>
  <dcterms:created xsi:type="dcterms:W3CDTF">2018-10-04T21:31:00Z</dcterms:created>
  <dcterms:modified xsi:type="dcterms:W3CDTF">2018-10-04T21:31:00Z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2006-07-16T00:00:00Z</vt:filetime>
  </property>
  <property fmtid="{D5CDD505-2E9C-101B-9397-08002B2CF9AE}" pid="3" name="Creator">
    <vt:lpwstr>ATIC Arkansas Rates - Microsoft Word</vt:lpwstr>
  </property>
  <property fmtid="{D5CDD505-2E9C-101B-9397-08002B2CF9AE}" pid="4" name="LastSaved">
    <vt:filetime>2018-10-04T00:00:00Z</vt:filetime>
  </property>
</Properties>
</file>